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DF090" w14:textId="77777777" w:rsidR="00B84B7F" w:rsidRPr="00AA5984" w:rsidRDefault="00D51BC9">
      <w:pPr>
        <w:pStyle w:val="1"/>
        <w:spacing w:before="44"/>
        <w:ind w:right="239"/>
        <w:jc w:val="center"/>
        <w:rPr>
          <w:b w:val="0"/>
          <w:bCs w:val="0"/>
        </w:rPr>
      </w:pPr>
      <w:r>
        <w:pict w14:anchorId="2A4FA28B">
          <v:group id="_x0000_s1030" style="position:absolute;left:0;text-align:left;margin-left:587.75pt;margin-top:327.25pt;width:70.95pt;height:.1pt;z-index:-13672;mso-position-horizontal-relative:page;mso-position-vertical-relative:page" coordorigin="11755,6545" coordsize="1419,2">
            <v:shape id="_x0000_s1031" style="position:absolute;left:11755;top:6545;width:1419;height:2" coordorigin="11755,6545" coordsize="1419,0" path="m11755,6545r1419,e" filled="f" strokecolor="blue" strokeweight=".58pt">
              <v:path arrowok="t"/>
            </v:shape>
            <w10:wrap anchorx="page" anchory="page"/>
          </v:group>
        </w:pict>
      </w:r>
      <w:r>
        <w:pict w14:anchorId="4C1B6BB6">
          <v:group id="_x0000_s1028" style="position:absolute;left:0;text-align:left;margin-left:587.75pt;margin-top:424.3pt;width:11.05pt;height:.1pt;z-index:-13648;mso-position-horizontal-relative:page;mso-position-vertical-relative:page" coordorigin="11755,8486" coordsize="221,2">
            <v:shape id="_x0000_s1029" style="position:absolute;left:11755;top:8486;width:221;height:2" coordorigin="11755,8486" coordsize="221,0" path="m11755,8486r221,e" filled="f" strokecolor="blue" strokeweight=".20497mm">
              <v:path arrowok="t"/>
            </v:shape>
            <w10:wrap anchorx="page" anchory="page"/>
          </v:group>
        </w:pict>
      </w:r>
      <w:r>
        <w:pict w14:anchorId="53000E51">
          <v:group id="_x0000_s1026" style="position:absolute;left:0;text-align:left;margin-left:587.75pt;margin-top:480pt;width:11.05pt;height:.1pt;z-index:-13624;mso-position-horizontal-relative:page;mso-position-vertical-relative:page" coordorigin="11755,9600" coordsize="221,2">
            <v:shape id="_x0000_s1027" style="position:absolute;left:11755;top:9600;width:221;height:2" coordorigin="11755,9600" coordsize="221,0" path="m11755,9600r221,e" filled="f" strokecolor="blue" strokeweight=".58pt">
              <v:path arrowok="t"/>
            </v:shape>
            <w10:wrap anchorx="page" anchory="page"/>
          </v:group>
        </w:pict>
      </w:r>
      <w:r w:rsidR="00804176" w:rsidRPr="00AA5984">
        <w:t>INFORMATION</w:t>
      </w:r>
    </w:p>
    <w:p w14:paraId="1A82946A" w14:textId="75E892C1" w:rsidR="00B84B7F" w:rsidRPr="00AA5984" w:rsidRDefault="00DB79AF">
      <w:pPr>
        <w:ind w:right="2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about</w:t>
      </w:r>
      <w:r w:rsidR="00804176" w:rsidRPr="00AA5984">
        <w:rPr>
          <w:rFonts w:ascii="Times New Roman" w:hAnsi="Times New Roman"/>
          <w:b/>
          <w:sz w:val="24"/>
        </w:rPr>
        <w:t xml:space="preserve"> administrative service</w:t>
      </w:r>
    </w:p>
    <w:p w14:paraId="1E8460A8" w14:textId="77777777" w:rsidR="00B84B7F" w:rsidRPr="00AA5984" w:rsidRDefault="00B84B7F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61"/>
        <w:gridCol w:w="2585"/>
        <w:gridCol w:w="1337"/>
        <w:gridCol w:w="2705"/>
        <w:gridCol w:w="1330"/>
        <w:gridCol w:w="917"/>
        <w:gridCol w:w="876"/>
        <w:gridCol w:w="4306"/>
      </w:tblGrid>
      <w:tr w:rsidR="00B84B7F" w:rsidRPr="00AA5984" w14:paraId="76010945" w14:textId="77777777">
        <w:trPr>
          <w:trHeight w:hRule="exact" w:val="1114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CBEB5" w14:textId="77777777" w:rsidR="00B84B7F" w:rsidRPr="00AA5984" w:rsidRDefault="00804176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3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D1000" w14:textId="77777777" w:rsidR="00B84B7F" w:rsidRPr="00AA5984" w:rsidRDefault="00622F5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Description</w:t>
            </w:r>
          </w:p>
        </w:tc>
        <w:tc>
          <w:tcPr>
            <w:tcW w:w="101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068FD" w14:textId="5A7D5F32" w:rsidR="00B84B7F" w:rsidRDefault="00804176" w:rsidP="00D51BC9">
            <w:pPr>
              <w:pStyle w:val="TableParagraph"/>
              <w:ind w:left="102" w:right="97"/>
              <w:jc w:val="both"/>
              <w:rPr>
                <w:rFonts w:ascii="Times New Roman" w:hAnsi="Times New Roman"/>
                <w:sz w:val="24"/>
              </w:rPr>
            </w:pPr>
            <w:r w:rsidRPr="00AA5984">
              <w:rPr>
                <w:rFonts w:ascii="Times New Roman" w:hAnsi="Times New Roman"/>
                <w:sz w:val="24"/>
              </w:rPr>
              <w:t>Execute and issue a</w:t>
            </w:r>
            <w:r w:rsidR="009E06C6">
              <w:rPr>
                <w:rFonts w:ascii="Times New Roman" w:hAnsi="Times New Roman"/>
                <w:sz w:val="24"/>
              </w:rPr>
              <w:t xml:space="preserve"> conclusion</w:t>
            </w:r>
            <w:r w:rsidRPr="00AA5984">
              <w:rPr>
                <w:rFonts w:ascii="Times New Roman" w:hAnsi="Times New Roman"/>
                <w:sz w:val="24"/>
              </w:rPr>
              <w:t xml:space="preserve"> on </w:t>
            </w:r>
            <w:r w:rsidR="00E72D05">
              <w:rPr>
                <w:rFonts w:ascii="Times New Roman" w:hAnsi="Times New Roman"/>
                <w:sz w:val="24"/>
              </w:rPr>
              <w:t xml:space="preserve">holding </w:t>
            </w:r>
            <w:r w:rsidRPr="00AA5984">
              <w:rPr>
                <w:rFonts w:ascii="Times New Roman" w:hAnsi="Times New Roman"/>
                <w:sz w:val="24"/>
              </w:rPr>
              <w:t xml:space="preserve">negotiations </w:t>
            </w:r>
            <w:r w:rsidR="00D51BC9" w:rsidRPr="00D51BC9">
              <w:rPr>
                <w:rFonts w:ascii="Times New Roman" w:hAnsi="Times New Roman"/>
                <w:sz w:val="24"/>
              </w:rPr>
              <w:t>on Concluding Foreign Trade Agreements (Contracts) for the Export of Goods</w:t>
            </w:r>
            <w:r w:rsidR="00D51BC9">
              <w:rPr>
                <w:rFonts w:ascii="Times New Roman" w:hAnsi="Times New Roman"/>
                <w:sz w:val="24"/>
              </w:rPr>
              <w:t xml:space="preserve"> </w:t>
            </w:r>
            <w:r w:rsidR="00E72D05" w:rsidRPr="00AA5984">
              <w:rPr>
                <w:rFonts w:ascii="Times New Roman" w:hAnsi="Times New Roman"/>
                <w:sz w:val="24"/>
              </w:rPr>
              <w:t xml:space="preserve">subject </w:t>
            </w:r>
            <w:r w:rsidR="00E72D05">
              <w:rPr>
                <w:rFonts w:ascii="Times New Roman" w:hAnsi="Times New Roman"/>
                <w:sz w:val="24"/>
              </w:rPr>
              <w:t xml:space="preserve">to </w:t>
            </w:r>
            <w:r w:rsidR="00E72D05" w:rsidRPr="00AA5984">
              <w:rPr>
                <w:rFonts w:ascii="Times New Roman" w:hAnsi="Times New Roman"/>
                <w:sz w:val="24"/>
              </w:rPr>
              <w:t xml:space="preserve">partial embargo based on </w:t>
            </w:r>
            <w:r w:rsidR="00E72D05">
              <w:rPr>
                <w:rFonts w:ascii="Times New Roman" w:hAnsi="Times New Roman"/>
                <w:sz w:val="24"/>
              </w:rPr>
              <w:t>country of destination</w:t>
            </w:r>
            <w:r w:rsidR="00E72D05" w:rsidRPr="00AA5984">
              <w:rPr>
                <w:rFonts w:ascii="Times New Roman" w:hAnsi="Times New Roman"/>
                <w:sz w:val="24"/>
              </w:rPr>
              <w:t xml:space="preserve"> </w:t>
            </w:r>
            <w:r w:rsidR="00E72D05">
              <w:rPr>
                <w:rFonts w:ascii="Times New Roman" w:hAnsi="Times New Roman"/>
                <w:sz w:val="24"/>
              </w:rPr>
              <w:t>based</w:t>
            </w:r>
            <w:r w:rsidRPr="00AA5984">
              <w:rPr>
                <w:rFonts w:ascii="Times New Roman" w:hAnsi="Times New Roman"/>
                <w:sz w:val="24"/>
              </w:rPr>
              <w:t xml:space="preserve"> </w:t>
            </w:r>
            <w:r w:rsidR="00E72D05">
              <w:rPr>
                <w:rFonts w:ascii="Times New Roman" w:hAnsi="Times New Roman"/>
                <w:sz w:val="24"/>
              </w:rPr>
              <w:t xml:space="preserve">in pursuance of </w:t>
            </w:r>
            <w:r w:rsidRPr="00AA5984">
              <w:rPr>
                <w:rFonts w:ascii="Times New Roman" w:hAnsi="Times New Roman"/>
                <w:sz w:val="24"/>
              </w:rPr>
              <w:t xml:space="preserve">Ukraine’s international commitments </w:t>
            </w:r>
          </w:p>
          <w:p w14:paraId="2C698E93" w14:textId="77777777" w:rsidR="00D51BC9" w:rsidRDefault="00D51BC9" w:rsidP="00D51BC9">
            <w:pPr>
              <w:pStyle w:val="TableParagraph"/>
              <w:ind w:left="102" w:right="97"/>
              <w:jc w:val="both"/>
              <w:rPr>
                <w:rFonts w:ascii="Times New Roman" w:hAnsi="Times New Roman"/>
                <w:sz w:val="24"/>
              </w:rPr>
            </w:pPr>
          </w:p>
          <w:p w14:paraId="754BBF91" w14:textId="2BA2FBDB" w:rsidR="00D51BC9" w:rsidRPr="00AA5984" w:rsidRDefault="00D51BC9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B7F" w:rsidRPr="00AA5984" w14:paraId="1BB64B3D" w14:textId="77777777" w:rsidTr="00557A18">
        <w:trPr>
          <w:trHeight w:hRule="exact" w:val="796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D95FA" w14:textId="77777777" w:rsidR="00B84B7F" w:rsidRPr="00AA5984" w:rsidRDefault="00804176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3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F5FAE" w14:textId="483B19E2" w:rsidR="00B84B7F" w:rsidRPr="00AA5984" w:rsidRDefault="009E06C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  <w:r w:rsidR="00804176" w:rsidRPr="00AA5984">
              <w:rPr>
                <w:rFonts w:ascii="Times New Roman" w:hAnsi="Times New Roman"/>
                <w:b/>
                <w:sz w:val="24"/>
              </w:rPr>
              <w:t xml:space="preserve">ategory (natural </w:t>
            </w:r>
            <w:r w:rsidR="00E72D05" w:rsidRPr="00AA5984">
              <w:rPr>
                <w:rFonts w:ascii="Times New Roman" w:hAnsi="Times New Roman"/>
                <w:b/>
                <w:sz w:val="24"/>
              </w:rPr>
              <w:t>person</w:t>
            </w:r>
            <w:r w:rsidR="00E72D05">
              <w:rPr>
                <w:rFonts w:ascii="Times New Roman" w:hAnsi="Times New Roman"/>
                <w:b/>
                <w:sz w:val="24"/>
              </w:rPr>
              <w:t>,</w:t>
            </w:r>
            <w:r w:rsidR="00E72D05" w:rsidRPr="00AA598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72D05">
              <w:rPr>
                <w:rFonts w:ascii="Times New Roman" w:hAnsi="Times New Roman"/>
                <w:sz w:val="24"/>
              </w:rPr>
              <w:t>legal entity</w:t>
            </w:r>
            <w:r w:rsidR="00804176" w:rsidRPr="00AA5984">
              <w:rPr>
                <w:rFonts w:ascii="Times New Roman" w:hAnsi="Times New Roman"/>
                <w:b/>
                <w:sz w:val="24"/>
              </w:rPr>
              <w:t>, sole trader)</w:t>
            </w:r>
          </w:p>
        </w:tc>
        <w:tc>
          <w:tcPr>
            <w:tcW w:w="101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6511B" w14:textId="1E5CC3CD" w:rsidR="00B84B7F" w:rsidRPr="00AA5984" w:rsidRDefault="00E72D0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Legal entity</w:t>
            </w:r>
          </w:p>
          <w:p w14:paraId="7E6249CD" w14:textId="77777777" w:rsidR="00B84B7F" w:rsidRPr="00AA5984" w:rsidRDefault="0080417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Sole trader</w:t>
            </w:r>
          </w:p>
        </w:tc>
      </w:tr>
      <w:tr w:rsidR="00B84B7F" w:rsidRPr="00D51BC9" w14:paraId="06C589BB" w14:textId="77777777">
        <w:trPr>
          <w:trHeight w:hRule="exact" w:val="838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1301D" w14:textId="77777777" w:rsidR="00B84B7F" w:rsidRPr="00AA5984" w:rsidRDefault="00804176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3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90EC" w14:textId="67D05B00" w:rsidR="00B84B7F" w:rsidRPr="00AA5984" w:rsidRDefault="009E06C6">
            <w:pPr>
              <w:pStyle w:val="TableParagraph"/>
              <w:tabs>
                <w:tab w:val="left" w:pos="2900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804176" w:rsidRPr="00AA59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dministrative services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bodies </w:t>
            </w:r>
            <w:r w:rsidR="00804176" w:rsidRPr="00AA5984">
              <w:rPr>
                <w:rFonts w:ascii="Times New Roman" w:hAnsi="Times New Roman"/>
                <w:b/>
                <w:bCs/>
                <w:sz w:val="24"/>
                <w:szCs w:val="24"/>
              </w:rPr>
              <w:t>(central government agencies, regional units)</w:t>
            </w:r>
          </w:p>
        </w:tc>
        <w:tc>
          <w:tcPr>
            <w:tcW w:w="101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1C36" w14:textId="77777777" w:rsidR="00B84B7F" w:rsidRDefault="00804176" w:rsidP="00D51BC9">
            <w:pPr>
              <w:pStyle w:val="TableParagraph"/>
              <w:spacing w:line="274" w:lineRule="exact"/>
              <w:ind w:left="102"/>
              <w:rPr>
                <w:rFonts w:ascii="Times New Roman" w:hAnsi="Times New Roman"/>
                <w:sz w:val="24"/>
              </w:rPr>
            </w:pPr>
            <w:r w:rsidRPr="00AA5984">
              <w:rPr>
                <w:rFonts w:ascii="Times New Roman" w:hAnsi="Times New Roman"/>
                <w:sz w:val="24"/>
              </w:rPr>
              <w:t xml:space="preserve">State Service </w:t>
            </w:r>
            <w:r w:rsidR="00D51BC9">
              <w:rPr>
                <w:rFonts w:ascii="Times New Roman" w:hAnsi="Times New Roman"/>
                <w:sz w:val="24"/>
              </w:rPr>
              <w:t>of</w:t>
            </w:r>
            <w:r w:rsidRPr="00AA5984">
              <w:rPr>
                <w:rFonts w:ascii="Times New Roman" w:hAnsi="Times New Roman"/>
                <w:sz w:val="24"/>
              </w:rPr>
              <w:t xml:space="preserve"> Export Control of Ukraine</w:t>
            </w:r>
          </w:p>
          <w:p w14:paraId="07774CAF" w14:textId="3D37BC25" w:rsidR="00D51BC9" w:rsidRPr="00D51BC9" w:rsidRDefault="00D51BC9" w:rsidP="00D51BC9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B84B7F" w:rsidRPr="00AA5984" w14:paraId="21878076" w14:textId="77777777">
        <w:trPr>
          <w:trHeight w:hRule="exact" w:val="319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1769B" w14:textId="77777777" w:rsidR="00B84B7F" w:rsidRPr="00AA5984" w:rsidRDefault="0080417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40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00548" w14:textId="77777777" w:rsidR="00B84B7F" w:rsidRPr="00AA5984" w:rsidRDefault="0080417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b/>
                <w:sz w:val="24"/>
              </w:rPr>
              <w:t>Legal grounds (regulations):</w:t>
            </w:r>
          </w:p>
        </w:tc>
      </w:tr>
      <w:tr w:rsidR="00B84B7F" w:rsidRPr="00AA5984" w14:paraId="5A6821A0" w14:textId="77777777">
        <w:trPr>
          <w:trHeight w:hRule="exact" w:val="374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7F885" w14:textId="77777777" w:rsidR="00B84B7F" w:rsidRPr="00AA5984" w:rsidRDefault="00B84B7F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5F55C" w14:textId="77777777" w:rsidR="00B84B7F" w:rsidRPr="00AA5984" w:rsidRDefault="00804176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regulation</w:t>
            </w:r>
          </w:p>
        </w:tc>
        <w:tc>
          <w:tcPr>
            <w:tcW w:w="4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AB9B" w14:textId="77777777" w:rsidR="00B84B7F" w:rsidRPr="00AA5984" w:rsidRDefault="00804176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title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E2356" w14:textId="77777777" w:rsidR="00B84B7F" w:rsidRPr="00AA5984" w:rsidRDefault="00804176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E85C3" w14:textId="77777777" w:rsidR="00B84B7F" w:rsidRPr="00AA5984" w:rsidRDefault="00804176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number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E7CDC" w14:textId="77777777" w:rsidR="00B84B7F" w:rsidRPr="00AA5984" w:rsidRDefault="00804176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rule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8B082" w14:textId="77777777" w:rsidR="00B84B7F" w:rsidRPr="00AA5984" w:rsidRDefault="00804176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link</w:t>
            </w:r>
          </w:p>
        </w:tc>
      </w:tr>
      <w:tr w:rsidR="00B84B7F" w:rsidRPr="00AA5984" w14:paraId="5228F5BE" w14:textId="77777777">
        <w:trPr>
          <w:trHeight w:hRule="exact" w:val="1114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CC04" w14:textId="77777777" w:rsidR="00B84B7F" w:rsidRPr="00AA5984" w:rsidRDefault="00B84B7F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ADF0" w14:textId="77777777" w:rsidR="00B84B7F" w:rsidRPr="00AA5984" w:rsidRDefault="00804176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Law of Ukraine</w:t>
            </w:r>
          </w:p>
        </w:tc>
        <w:tc>
          <w:tcPr>
            <w:tcW w:w="4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EAD06" w14:textId="77777777" w:rsidR="00B84B7F" w:rsidRPr="00AA5984" w:rsidRDefault="00804176">
            <w:pPr>
              <w:pStyle w:val="TableParagraph"/>
              <w:ind w:left="102" w:right="9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On State Control over International Transfers of Military and Dual-Use Goods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09B0A" w14:textId="77777777" w:rsidR="00B84B7F" w:rsidRPr="00AA5984" w:rsidRDefault="00B84B7F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8C300" w14:textId="77777777" w:rsidR="00B84B7F" w:rsidRPr="00AA5984" w:rsidRDefault="00B84B7F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D8DD9" w14:textId="77777777" w:rsidR="00B84B7F" w:rsidRPr="00AA5984" w:rsidRDefault="00B84B7F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7962D" w14:textId="77777777" w:rsidR="00B84B7F" w:rsidRPr="00AA5984" w:rsidRDefault="00D51BC9">
            <w:pPr>
              <w:pStyle w:val="TableParagraph"/>
              <w:spacing w:line="251" w:lineRule="exact"/>
              <w:ind w:left="135"/>
              <w:rPr>
                <w:rFonts w:ascii="Times New Roman" w:eastAsia="Times New Roman" w:hAnsi="Times New Roman" w:cs="Times New Roman"/>
              </w:rPr>
            </w:pPr>
            <w:hyperlink r:id="rId7">
              <w:r w:rsidR="00804176" w:rsidRPr="00AA5984">
                <w:rPr>
                  <w:rFonts w:ascii="Times New Roman"/>
                  <w:color w:val="0000FF"/>
                  <w:u w:val="single" w:color="0000FF"/>
                </w:rPr>
                <w:t>https://zakon.rada.gov.ua/laws/show/549-15</w:t>
              </w:r>
            </w:hyperlink>
          </w:p>
        </w:tc>
      </w:tr>
      <w:tr w:rsidR="00B84B7F" w:rsidRPr="00622F5E" w14:paraId="1CC22A8F" w14:textId="77777777">
        <w:trPr>
          <w:trHeight w:hRule="exact" w:val="1942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8591C" w14:textId="77777777" w:rsidR="00B84B7F" w:rsidRPr="00AA5984" w:rsidRDefault="00B84B7F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F4DE8" w14:textId="77777777" w:rsidR="00B84B7F" w:rsidRPr="00AA5984" w:rsidRDefault="00804176">
            <w:pPr>
              <w:pStyle w:val="TableParagraph"/>
              <w:tabs>
                <w:tab w:val="left" w:pos="1556"/>
              </w:tabs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Resolution of the Cabinet of Ministers of Ukraine</w:t>
            </w:r>
          </w:p>
        </w:tc>
        <w:tc>
          <w:tcPr>
            <w:tcW w:w="4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C82BC" w14:textId="66538030" w:rsidR="00B84B7F" w:rsidRPr="00AA5984" w:rsidRDefault="00804176" w:rsidP="00D51BC9">
            <w:pPr>
              <w:pStyle w:val="TableParagraph"/>
              <w:tabs>
                <w:tab w:val="left" w:pos="1928"/>
                <w:tab w:val="left" w:pos="2655"/>
              </w:tabs>
              <w:ind w:left="102" w:right="94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 xml:space="preserve">On Adopting the Procedure for State Export Control over Negotiations Related to the Conclusion of </w:t>
            </w:r>
            <w:r w:rsidR="009E06C6">
              <w:rPr>
                <w:rFonts w:ascii="Times New Roman" w:hAnsi="Times New Roman"/>
                <w:sz w:val="24"/>
              </w:rPr>
              <w:t xml:space="preserve">foreign </w:t>
            </w:r>
            <w:r w:rsidR="009E06C6" w:rsidRPr="00AA5984">
              <w:rPr>
                <w:rFonts w:ascii="Times New Roman" w:hAnsi="Times New Roman"/>
                <w:sz w:val="24"/>
              </w:rPr>
              <w:t xml:space="preserve"> </w:t>
            </w:r>
            <w:r w:rsidR="009E06C6">
              <w:rPr>
                <w:rFonts w:ascii="Times New Roman" w:hAnsi="Times New Roman"/>
                <w:sz w:val="24"/>
              </w:rPr>
              <w:t xml:space="preserve">trade 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>Agreements (Contracts) for the Export of Goods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0751C" w14:textId="77777777" w:rsidR="00B84B7F" w:rsidRPr="00AA5984" w:rsidRDefault="00804176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sz w:val="24"/>
              </w:rPr>
              <w:t>06.06.2012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9951A" w14:textId="77777777" w:rsidR="00B84B7F" w:rsidRPr="00AA5984" w:rsidRDefault="00804176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sz w:val="24"/>
              </w:rPr>
              <w:t>500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9EFCC" w14:textId="77777777" w:rsidR="00B84B7F" w:rsidRPr="00AA5984" w:rsidRDefault="00B84B7F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1276B" w14:textId="77777777" w:rsidR="00B84B7F" w:rsidRPr="00622F5E" w:rsidRDefault="00D51BC9">
            <w:pPr>
              <w:pStyle w:val="TableParagraph"/>
              <w:spacing w:line="241" w:lineRule="auto"/>
              <w:ind w:left="102" w:right="480" w:firstLine="33"/>
              <w:rPr>
                <w:rFonts w:ascii="Times New Roman" w:eastAsia="Times New Roman" w:hAnsi="Times New Roman" w:cs="Times New Roman"/>
                <w:lang w:val="de-DE"/>
              </w:rPr>
            </w:pPr>
            <w:hyperlink r:id="rId8">
              <w:r w:rsidR="00804176" w:rsidRPr="00622F5E">
                <w:rPr>
                  <w:rFonts w:ascii="Times New Roman"/>
                  <w:color w:val="0000FF"/>
                  <w:u w:val="single" w:color="0000FF"/>
                  <w:lang w:val="de-DE"/>
                </w:rPr>
                <w:t>https://zakon.rada.gov.ua/laws/show/500-</w:t>
              </w:r>
            </w:hyperlink>
            <w:r w:rsidR="00804176" w:rsidRPr="00622F5E">
              <w:rPr>
                <w:rFonts w:ascii="Times New Roman"/>
                <w:color w:val="0000FF"/>
                <w:lang w:val="de-DE"/>
              </w:rPr>
              <w:t xml:space="preserve"> </w:t>
            </w:r>
            <w:hyperlink r:id="rId9">
              <w:r w:rsidR="00804176" w:rsidRPr="00622F5E">
                <w:rPr>
                  <w:rFonts w:ascii="Times New Roman"/>
                  <w:color w:val="0000FF"/>
                  <w:lang w:val="de-DE"/>
                </w:rPr>
                <w:t>2012-%D0%BF</w:t>
              </w:r>
            </w:hyperlink>
          </w:p>
        </w:tc>
      </w:tr>
      <w:tr w:rsidR="00B84B7F" w:rsidRPr="00AA5984" w14:paraId="31A28C0D" w14:textId="77777777">
        <w:trPr>
          <w:trHeight w:hRule="exact" w:val="1116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77EFF" w14:textId="77777777" w:rsidR="00B84B7F" w:rsidRPr="00622F5E" w:rsidRDefault="00B84B7F">
            <w:pPr>
              <w:rPr>
                <w:lang w:val="de-DE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EEAD" w14:textId="77777777" w:rsidR="00B84B7F" w:rsidRPr="00AA5984" w:rsidRDefault="00804176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SSECU Order</w:t>
            </w:r>
          </w:p>
        </w:tc>
        <w:tc>
          <w:tcPr>
            <w:tcW w:w="4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44E38" w14:textId="4685F36F" w:rsidR="00B84B7F" w:rsidRPr="00AA5984" w:rsidRDefault="00804176">
            <w:pPr>
              <w:pStyle w:val="TableParagraph"/>
              <w:ind w:left="102" w:right="9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 xml:space="preserve">On Adopting the Form of the </w:t>
            </w:r>
            <w:r w:rsidR="009E06C6">
              <w:rPr>
                <w:rFonts w:ascii="Times New Roman" w:hAnsi="Times New Roman"/>
                <w:sz w:val="24"/>
              </w:rPr>
              <w:t>Conclusion</w:t>
            </w:r>
            <w:r w:rsidR="009E06C6" w:rsidRPr="00AA5984">
              <w:rPr>
                <w:rFonts w:ascii="Times New Roman" w:hAnsi="Times New Roman"/>
                <w:sz w:val="24"/>
              </w:rPr>
              <w:t xml:space="preserve"> </w:t>
            </w:r>
            <w:r w:rsidRPr="00AA5984">
              <w:rPr>
                <w:rFonts w:ascii="Times New Roman" w:hAnsi="Times New Roman"/>
                <w:sz w:val="24"/>
              </w:rPr>
              <w:t>to Allow Negotiations, Reporting Forms, and on Setting Reporting Due Dates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9F59" w14:textId="77777777" w:rsidR="00B84B7F" w:rsidRPr="00AA5984" w:rsidRDefault="00804176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sz w:val="24"/>
              </w:rPr>
              <w:t>05.10.2009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2ED79" w14:textId="77777777" w:rsidR="00B84B7F" w:rsidRPr="00AA5984" w:rsidRDefault="00804176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sz w:val="24"/>
              </w:rPr>
              <w:t>86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D3A7C" w14:textId="77777777" w:rsidR="00B84B7F" w:rsidRPr="00AA5984" w:rsidRDefault="00B84B7F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986BA" w14:textId="77777777" w:rsidR="00B84B7F" w:rsidRPr="00AA5984" w:rsidRDefault="00D51BC9">
            <w:pPr>
              <w:pStyle w:val="TableParagraph"/>
              <w:ind w:left="102" w:right="273" w:firstLine="33"/>
              <w:rPr>
                <w:rFonts w:ascii="Times New Roman" w:eastAsia="Times New Roman" w:hAnsi="Times New Roman" w:cs="Times New Roman"/>
              </w:rPr>
            </w:pPr>
            <w:hyperlink r:id="rId10">
              <w:r w:rsidR="00804176" w:rsidRPr="00AA5984">
                <w:rPr>
                  <w:rFonts w:ascii="Times New Roman"/>
                  <w:color w:val="0000FF"/>
                  <w:u w:val="single" w:color="0000FF"/>
                </w:rPr>
                <w:t>https://zakon.rada.gov.ua/laws/show/z0994-</w:t>
              </w:r>
            </w:hyperlink>
            <w:r w:rsidR="00804176" w:rsidRPr="00AA5984">
              <w:rPr>
                <w:rFonts w:ascii="Times New Roman"/>
                <w:color w:val="0000FF"/>
              </w:rPr>
              <w:t xml:space="preserve"> </w:t>
            </w:r>
            <w:hyperlink r:id="rId11">
              <w:r w:rsidR="00804176" w:rsidRPr="00AA5984">
                <w:rPr>
                  <w:rFonts w:ascii="Times New Roman"/>
                  <w:color w:val="0000FF"/>
                </w:rPr>
                <w:t>09</w:t>
              </w:r>
            </w:hyperlink>
          </w:p>
        </w:tc>
      </w:tr>
      <w:tr w:rsidR="00B84B7F" w:rsidRPr="00AA5984" w14:paraId="606258AC" w14:textId="77777777" w:rsidTr="00557A18">
        <w:trPr>
          <w:trHeight w:hRule="exact" w:val="1138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39993" w14:textId="77777777" w:rsidR="00B84B7F" w:rsidRPr="00AA5984" w:rsidRDefault="00B84B7F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787DA" w14:textId="77777777" w:rsidR="00B84B7F" w:rsidRPr="00AA5984" w:rsidRDefault="00804176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SSECU Order</w:t>
            </w:r>
          </w:p>
        </w:tc>
        <w:tc>
          <w:tcPr>
            <w:tcW w:w="4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37BCE" w14:textId="46D2F38F" w:rsidR="00B84B7F" w:rsidRPr="00AA5984" w:rsidRDefault="00804176">
            <w:pPr>
              <w:pStyle w:val="TableParagraph"/>
              <w:tabs>
                <w:tab w:val="left" w:pos="1225"/>
                <w:tab w:val="left" w:pos="2672"/>
                <w:tab w:val="left" w:pos="3380"/>
              </w:tabs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 xml:space="preserve">On Adopting the </w:t>
            </w:r>
            <w:r w:rsidR="009E06C6">
              <w:rPr>
                <w:rFonts w:ascii="Times New Roman" w:hAnsi="Times New Roman"/>
                <w:sz w:val="24"/>
              </w:rPr>
              <w:t>Guidelines</w:t>
            </w:r>
            <w:r w:rsidR="009E06C6" w:rsidRPr="00AA5984">
              <w:rPr>
                <w:rFonts w:ascii="Times New Roman" w:hAnsi="Times New Roman"/>
                <w:sz w:val="24"/>
              </w:rPr>
              <w:t xml:space="preserve"> </w:t>
            </w:r>
            <w:r w:rsidR="009E06C6">
              <w:rPr>
                <w:rFonts w:ascii="Times New Roman" w:hAnsi="Times New Roman"/>
                <w:sz w:val="24"/>
              </w:rPr>
              <w:t>for</w:t>
            </w:r>
            <w:r w:rsidR="009E06C6" w:rsidRPr="00AA5984">
              <w:rPr>
                <w:rFonts w:ascii="Times New Roman" w:hAnsi="Times New Roman"/>
                <w:sz w:val="24"/>
              </w:rPr>
              <w:t xml:space="preserve"> </w:t>
            </w:r>
            <w:r w:rsidRPr="00AA5984">
              <w:rPr>
                <w:rFonts w:ascii="Times New Roman" w:hAnsi="Times New Roman"/>
                <w:sz w:val="24"/>
              </w:rPr>
              <w:t xml:space="preserve">the Procedure </w:t>
            </w:r>
            <w:r w:rsidR="009E06C6">
              <w:rPr>
                <w:rFonts w:ascii="Times New Roman" w:hAnsi="Times New Roman"/>
                <w:sz w:val="24"/>
              </w:rPr>
              <w:t>of</w:t>
            </w:r>
            <w:r w:rsidR="009E06C6" w:rsidRPr="00AA5984">
              <w:rPr>
                <w:rFonts w:ascii="Times New Roman" w:hAnsi="Times New Roman"/>
                <w:sz w:val="24"/>
              </w:rPr>
              <w:t xml:space="preserve"> </w:t>
            </w:r>
            <w:r w:rsidRPr="00AA5984">
              <w:rPr>
                <w:rFonts w:ascii="Times New Roman" w:hAnsi="Times New Roman"/>
                <w:sz w:val="24"/>
              </w:rPr>
              <w:t>Completing Applications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15DDD" w14:textId="77777777" w:rsidR="00B84B7F" w:rsidRPr="00AA5984" w:rsidRDefault="00804176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sz w:val="24"/>
              </w:rPr>
              <w:t>09.01.2004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A9A76" w14:textId="77777777" w:rsidR="00B84B7F" w:rsidRPr="00AA5984" w:rsidRDefault="00804176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sz w:val="24"/>
              </w:rPr>
              <w:t>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7D07" w14:textId="77777777" w:rsidR="00B84B7F" w:rsidRPr="00AA5984" w:rsidRDefault="00B84B7F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D5F6A" w14:textId="77777777" w:rsidR="00B84B7F" w:rsidRPr="00AA5984" w:rsidRDefault="00D51BC9">
            <w:pPr>
              <w:pStyle w:val="TableParagraph"/>
              <w:spacing w:before="1" w:line="252" w:lineRule="exact"/>
              <w:ind w:left="102" w:right="273" w:firstLine="33"/>
              <w:rPr>
                <w:rFonts w:ascii="Times New Roman" w:eastAsia="Times New Roman" w:hAnsi="Times New Roman" w:cs="Times New Roman"/>
              </w:rPr>
            </w:pPr>
            <w:hyperlink r:id="rId12">
              <w:r w:rsidR="00804176" w:rsidRPr="00AA5984">
                <w:rPr>
                  <w:rFonts w:ascii="Times New Roman"/>
                  <w:color w:val="0000FF"/>
                  <w:u w:val="single" w:color="0000FF"/>
                </w:rPr>
                <w:t>https://zakon.rada.gov.ua/laws/show/z0090-</w:t>
              </w:r>
            </w:hyperlink>
            <w:r w:rsidR="00804176" w:rsidRPr="00AA5984">
              <w:rPr>
                <w:rFonts w:ascii="Times New Roman"/>
                <w:color w:val="0000FF"/>
              </w:rPr>
              <w:t xml:space="preserve"> </w:t>
            </w:r>
            <w:hyperlink r:id="rId13">
              <w:r w:rsidR="00804176" w:rsidRPr="00AA5984">
                <w:rPr>
                  <w:rFonts w:ascii="Times New Roman"/>
                  <w:color w:val="0000FF"/>
                </w:rPr>
                <w:t>04</w:t>
              </w:r>
            </w:hyperlink>
          </w:p>
        </w:tc>
      </w:tr>
    </w:tbl>
    <w:p w14:paraId="37F09F5E" w14:textId="77777777" w:rsidR="00B84B7F" w:rsidRPr="00AA5984" w:rsidRDefault="00B84B7F">
      <w:pPr>
        <w:spacing w:line="252" w:lineRule="exact"/>
        <w:rPr>
          <w:rFonts w:ascii="Times New Roman" w:eastAsia="Times New Roman" w:hAnsi="Times New Roman" w:cs="Times New Roman"/>
        </w:rPr>
        <w:sectPr w:rsidR="00B84B7F" w:rsidRPr="00AA5984">
          <w:type w:val="continuous"/>
          <w:pgSz w:w="16840" w:h="11910" w:orient="landscape"/>
          <w:pgMar w:top="800" w:right="780" w:bottom="280" w:left="1020" w:header="720" w:footer="720" w:gutter="0"/>
          <w:cols w:space="720"/>
        </w:sectPr>
      </w:pPr>
    </w:p>
    <w:p w14:paraId="251EADAB" w14:textId="77777777" w:rsidR="00B84B7F" w:rsidRPr="00AA5984" w:rsidRDefault="00B84B7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61"/>
        <w:gridCol w:w="2069"/>
        <w:gridCol w:w="516"/>
        <w:gridCol w:w="1337"/>
        <w:gridCol w:w="2705"/>
        <w:gridCol w:w="1330"/>
        <w:gridCol w:w="917"/>
        <w:gridCol w:w="876"/>
        <w:gridCol w:w="698"/>
        <w:gridCol w:w="3608"/>
      </w:tblGrid>
      <w:tr w:rsidR="00B84B7F" w:rsidRPr="00AA5984" w14:paraId="489011E4" w14:textId="77777777">
        <w:trPr>
          <w:trHeight w:hRule="exact" w:val="1114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94EC4" w14:textId="77777777" w:rsidR="00B84B7F" w:rsidRPr="00AA5984" w:rsidRDefault="00B84B7F"/>
        </w:tc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F8049" w14:textId="77777777" w:rsidR="00B84B7F" w:rsidRPr="00AA5984" w:rsidRDefault="00B84B7F"/>
        </w:tc>
        <w:tc>
          <w:tcPr>
            <w:tcW w:w="4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92426" w14:textId="77777777" w:rsidR="00B84B7F" w:rsidRPr="00AA5984" w:rsidRDefault="00804176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for Licenses, Guarantees, and Other Documents Provided by SSECU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C7F0E" w14:textId="77777777" w:rsidR="00B84B7F" w:rsidRPr="00AA5984" w:rsidRDefault="00B84B7F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2E6DF" w14:textId="77777777" w:rsidR="00B84B7F" w:rsidRPr="00AA5984" w:rsidRDefault="00B84B7F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FC7FD" w14:textId="77777777" w:rsidR="00B84B7F" w:rsidRPr="00AA5984" w:rsidRDefault="00B84B7F"/>
        </w:tc>
        <w:tc>
          <w:tcPr>
            <w:tcW w:w="4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F99F" w14:textId="77777777" w:rsidR="00B84B7F" w:rsidRPr="00AA5984" w:rsidRDefault="00B84B7F"/>
        </w:tc>
      </w:tr>
      <w:tr w:rsidR="00B84B7F" w:rsidRPr="00AA5984" w14:paraId="397A5B64" w14:textId="77777777">
        <w:trPr>
          <w:trHeight w:hRule="exact" w:val="408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3C75" w14:textId="77777777" w:rsidR="00B84B7F" w:rsidRPr="00AA5984" w:rsidRDefault="00804176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405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B2C2B" w14:textId="77777777" w:rsidR="00B84B7F" w:rsidRPr="00AA5984" w:rsidRDefault="0080417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b/>
                <w:sz w:val="24"/>
              </w:rPr>
              <w:t>Method of submission of the application and documents:</w:t>
            </w:r>
          </w:p>
        </w:tc>
      </w:tr>
      <w:tr w:rsidR="00B84B7F" w:rsidRPr="00AA5984" w14:paraId="6AB031FC" w14:textId="77777777">
        <w:trPr>
          <w:trHeight w:hRule="exact" w:val="562"/>
        </w:trPr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10E937" w14:textId="77777777" w:rsidR="00B84B7F" w:rsidRPr="00AA5984" w:rsidRDefault="00B84B7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FAD4E" w14:textId="77777777" w:rsidR="00B84B7F" w:rsidRPr="00AA5984" w:rsidRDefault="0080417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>Submitting entity</w:t>
            </w:r>
          </w:p>
        </w:tc>
        <w:tc>
          <w:tcPr>
            <w:tcW w:w="1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890BB" w14:textId="77777777" w:rsidR="00B84B7F" w:rsidRPr="00AA5984" w:rsidRDefault="00804176">
            <w:pPr>
              <w:pStyle w:val="TableParagraph"/>
              <w:ind w:left="104"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Format of submission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53876" w14:textId="77777777" w:rsidR="00B84B7F" w:rsidRPr="00AA5984" w:rsidRDefault="0080417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Method of submission</w:t>
            </w:r>
          </w:p>
        </w:tc>
        <w:tc>
          <w:tcPr>
            <w:tcW w:w="38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4019A" w14:textId="77777777" w:rsidR="00B84B7F" w:rsidRPr="00AA5984" w:rsidRDefault="0080417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Can be submitted online?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38A6" w14:textId="77777777" w:rsidR="00B84B7F" w:rsidRPr="00AA5984" w:rsidRDefault="0080417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Link for online submission</w:t>
            </w:r>
          </w:p>
        </w:tc>
      </w:tr>
      <w:tr w:rsidR="00B84B7F" w:rsidRPr="00AA5984" w14:paraId="0FCD79F7" w14:textId="77777777">
        <w:trPr>
          <w:trHeight w:hRule="exact" w:val="838"/>
        </w:trPr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A9027" w14:textId="77777777" w:rsidR="00B84B7F" w:rsidRPr="00AA5984" w:rsidRDefault="00B84B7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8E874" w14:textId="77777777" w:rsidR="00B84B7F" w:rsidRPr="00AA5984" w:rsidRDefault="00804176">
            <w:pPr>
              <w:pStyle w:val="TableParagraph"/>
              <w:ind w:left="102"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>entity’s authorized representative</w:t>
            </w:r>
          </w:p>
        </w:tc>
        <w:tc>
          <w:tcPr>
            <w:tcW w:w="1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AA480" w14:textId="77777777" w:rsidR="00B84B7F" w:rsidRPr="00AA5984" w:rsidRDefault="0080417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in writing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58DCD" w14:textId="77777777" w:rsidR="00B84B7F" w:rsidRPr="00AA5984" w:rsidRDefault="0080417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in person</w:t>
            </w:r>
          </w:p>
        </w:tc>
        <w:tc>
          <w:tcPr>
            <w:tcW w:w="38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DE05D" w14:textId="77777777" w:rsidR="00B84B7F" w:rsidRPr="00AA5984" w:rsidRDefault="0080417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sz w:val="24"/>
              </w:rPr>
              <w:t>-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54965" w14:textId="77777777" w:rsidR="00B84B7F" w:rsidRPr="00AA5984" w:rsidRDefault="0080417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sz w:val="24"/>
              </w:rPr>
              <w:t>-</w:t>
            </w:r>
          </w:p>
        </w:tc>
      </w:tr>
      <w:tr w:rsidR="00B84B7F" w:rsidRPr="00AA5984" w14:paraId="4C9B5EED" w14:textId="77777777">
        <w:trPr>
          <w:trHeight w:hRule="exact" w:val="3046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CBD24" w14:textId="77777777" w:rsidR="00B84B7F" w:rsidRPr="00AA5984" w:rsidRDefault="0080417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39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0E1B3" w14:textId="77777777" w:rsidR="00B84B7F" w:rsidRPr="00AA5984" w:rsidRDefault="00804176">
            <w:pPr>
              <w:pStyle w:val="TableParagraph"/>
              <w:tabs>
                <w:tab w:val="left" w:pos="1868"/>
                <w:tab w:val="left" w:pos="3423"/>
              </w:tabs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b/>
                <w:sz w:val="24"/>
              </w:rPr>
              <w:t>Documents required to receive services</w:t>
            </w:r>
          </w:p>
        </w:tc>
        <w:tc>
          <w:tcPr>
            <w:tcW w:w="101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F5EC8" w14:textId="77777777" w:rsidR="00B84B7F" w:rsidRPr="00AA5984" w:rsidRDefault="00804176">
            <w:pPr>
              <w:pStyle w:val="TableParagraph"/>
              <w:ind w:left="102" w:right="9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To receive the administrative service, a letter shall be submitted to SSECU with the application and a summary of the purpose.</w:t>
            </w:r>
          </w:p>
          <w:p w14:paraId="4DC3CE76" w14:textId="7F1F7497" w:rsidR="00B84B7F" w:rsidRPr="00AA5984" w:rsidRDefault="00804176">
            <w:pPr>
              <w:pStyle w:val="TableParagraph"/>
              <w:spacing w:line="239" w:lineRule="auto"/>
              <w:ind w:left="102" w:right="9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>If the business entity submits an application for a</w:t>
            </w:r>
            <w:r w:rsidR="008C177F">
              <w:rPr>
                <w:rFonts w:ascii="Times New Roman" w:hAnsi="Times New Roman"/>
                <w:sz w:val="24"/>
                <w:szCs w:val="24"/>
              </w:rPr>
              <w:t xml:space="preserve"> conclusion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77F">
              <w:rPr>
                <w:rFonts w:ascii="Times New Roman" w:hAnsi="Times New Roman"/>
                <w:sz w:val="24"/>
                <w:szCs w:val="24"/>
              </w:rPr>
              <w:t>allowing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 xml:space="preserve"> to negotiate exports of military goods, the application shall be complete with a copy of the document certified by the signature of the designated person of the entity, confirming the authority of the foreign entity to pursue </w:t>
            </w:r>
            <w:r w:rsidR="008C177F">
              <w:rPr>
                <w:rFonts w:ascii="Times New Roman" w:hAnsi="Times New Roman"/>
                <w:sz w:val="24"/>
                <w:szCs w:val="24"/>
              </w:rPr>
              <w:t>foreign trade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77F">
              <w:rPr>
                <w:rFonts w:ascii="Times New Roman" w:hAnsi="Times New Roman"/>
                <w:sz w:val="24"/>
                <w:szCs w:val="24"/>
              </w:rPr>
              <w:t>in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 xml:space="preserve"> military goods, </w:t>
            </w:r>
            <w:r w:rsidR="008C177F">
              <w:rPr>
                <w:rFonts w:ascii="Times New Roman" w:hAnsi="Times New Roman"/>
                <w:sz w:val="24"/>
                <w:szCs w:val="24"/>
              </w:rPr>
              <w:t>granted</w:t>
            </w:r>
            <w:r w:rsidR="008C177F" w:rsidRPr="00AA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77F">
              <w:rPr>
                <w:rFonts w:ascii="Times New Roman" w:hAnsi="Times New Roman"/>
                <w:sz w:val="24"/>
                <w:szCs w:val="24"/>
              </w:rPr>
              <w:t>there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>to in accordance with the laws of the country of their registration.</w:t>
            </w:r>
          </w:p>
          <w:p w14:paraId="6BD45A5C" w14:textId="77777777" w:rsidR="00B84B7F" w:rsidRPr="00AA5984" w:rsidRDefault="00804176">
            <w:pPr>
              <w:pStyle w:val="TableParagraph"/>
              <w:ind w:left="102" w:right="10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>Documents submitted to SSECU must be drawn up in the official language. Documents drawn up in a foreign language shall be accompanied by a Ukrainian translation thereof certified by the signature of the business entity’s designated person.</w:t>
            </w:r>
          </w:p>
        </w:tc>
      </w:tr>
      <w:tr w:rsidR="00B84B7F" w:rsidRPr="00AA5984" w14:paraId="2A65A2BF" w14:textId="77777777">
        <w:trPr>
          <w:trHeight w:hRule="exact" w:val="1944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58C53" w14:textId="77777777" w:rsidR="00B84B7F" w:rsidRPr="00AA5984" w:rsidRDefault="0080417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39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55160" w14:textId="77777777" w:rsidR="00B84B7F" w:rsidRPr="00AA5984" w:rsidRDefault="00804176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b/>
                <w:sz w:val="24"/>
              </w:rPr>
              <w:t>Terms and instances of service delivery (for a special category of persons)</w:t>
            </w:r>
          </w:p>
        </w:tc>
        <w:tc>
          <w:tcPr>
            <w:tcW w:w="101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FA837" w14:textId="5B167213" w:rsidR="00B84B7F" w:rsidRPr="00AA5984" w:rsidRDefault="00804176">
            <w:pPr>
              <w:pStyle w:val="TableParagraph"/>
              <w:ind w:left="102" w:right="9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 xml:space="preserve">The administrative service may be </w:t>
            </w:r>
            <w:r w:rsidR="008C177F">
              <w:rPr>
                <w:rFonts w:ascii="Times New Roman" w:hAnsi="Times New Roman"/>
                <w:sz w:val="24"/>
                <w:szCs w:val="24"/>
              </w:rPr>
              <w:t>provided</w:t>
            </w:r>
            <w:r w:rsidR="008C177F" w:rsidRPr="00AA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>to business entities (</w:t>
            </w:r>
            <w:r w:rsidR="008C177F">
              <w:rPr>
                <w:rFonts w:ascii="Times New Roman" w:hAnsi="Times New Roman"/>
                <w:sz w:val="24"/>
                <w:szCs w:val="24"/>
              </w:rPr>
              <w:t>legal</w:t>
            </w:r>
            <w:r w:rsidR="008C177F" w:rsidRPr="00AA5984">
              <w:rPr>
                <w:rFonts w:ascii="Times New Roman" w:hAnsi="Times New Roman"/>
                <w:sz w:val="24"/>
                <w:szCs w:val="24"/>
              </w:rPr>
              <w:t xml:space="preserve"> entities 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>or sole traders) registered with SSECU as entities performing international transfers of goods.</w:t>
            </w:r>
          </w:p>
          <w:p w14:paraId="136525BE" w14:textId="62676088" w:rsidR="00B84B7F" w:rsidRPr="00AA5984" w:rsidRDefault="00804176">
            <w:pPr>
              <w:pStyle w:val="TableParagraph"/>
              <w:ind w:left="102" w:right="9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8C177F">
              <w:rPr>
                <w:rFonts w:ascii="Times New Roman" w:hAnsi="Times New Roman"/>
                <w:sz w:val="24"/>
                <w:szCs w:val="24"/>
              </w:rPr>
              <w:t>general</w:t>
            </w:r>
            <w:r w:rsidR="008C177F" w:rsidRPr="00AA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 xml:space="preserve">or open </w:t>
            </w:r>
            <w:r w:rsidR="006E1E41">
              <w:rPr>
                <w:rFonts w:ascii="Times New Roman" w:hAnsi="Times New Roman"/>
                <w:sz w:val="24"/>
                <w:szCs w:val="24"/>
              </w:rPr>
              <w:t>conclusion</w:t>
            </w:r>
            <w:r w:rsidR="006E1E41" w:rsidRPr="00AA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 xml:space="preserve">on temporary </w:t>
            </w:r>
            <w:r w:rsidR="006E1E41">
              <w:rPr>
                <w:rFonts w:ascii="Times New Roman" w:hAnsi="Times New Roman"/>
                <w:sz w:val="24"/>
                <w:szCs w:val="24"/>
              </w:rPr>
              <w:t>brining in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>/</w:t>
            </w:r>
            <w:r w:rsidR="006E1E41">
              <w:rPr>
                <w:rFonts w:ascii="Times New Roman" w:hAnsi="Times New Roman"/>
                <w:sz w:val="24"/>
                <w:szCs w:val="24"/>
              </w:rPr>
              <w:t>out</w:t>
            </w:r>
            <w:r w:rsidR="006E1E41" w:rsidRPr="00AA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 xml:space="preserve">of military or dual-use goods can on obtained on condition that the entity performing international transfers of goods has an </w:t>
            </w:r>
            <w:r w:rsidR="006E1E41">
              <w:rPr>
                <w:rFonts w:ascii="Times New Roman" w:hAnsi="Times New Roman"/>
                <w:sz w:val="24"/>
                <w:szCs w:val="24"/>
              </w:rPr>
              <w:t>ICP (</w:t>
            </w:r>
            <w:r w:rsidR="006E1E41" w:rsidRPr="00AA5984">
              <w:rPr>
                <w:rFonts w:ascii="Times New Roman" w:hAnsi="Times New Roman"/>
                <w:sz w:val="24"/>
                <w:szCs w:val="24"/>
              </w:rPr>
              <w:t>int</w:t>
            </w:r>
            <w:r w:rsidR="006E1E41">
              <w:rPr>
                <w:rFonts w:ascii="Times New Roman" w:hAnsi="Times New Roman"/>
                <w:sz w:val="24"/>
                <w:szCs w:val="24"/>
              </w:rPr>
              <w:t>ernal compliance program) in place,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 xml:space="preserve"> certified by SSECU</w:t>
            </w:r>
          </w:p>
        </w:tc>
      </w:tr>
      <w:tr w:rsidR="00B84B7F" w:rsidRPr="00AA5984" w14:paraId="5FA34807" w14:textId="77777777">
        <w:trPr>
          <w:trHeight w:hRule="exact" w:val="382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1401F" w14:textId="77777777" w:rsidR="00B84B7F" w:rsidRPr="00AA5984" w:rsidRDefault="00804176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39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5AAB8" w14:textId="77777777" w:rsidR="00B84B7F" w:rsidRPr="00AA5984" w:rsidRDefault="0080417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b/>
                <w:sz w:val="24"/>
              </w:rPr>
              <w:t>Deliverable (what is received)</w:t>
            </w:r>
          </w:p>
        </w:tc>
        <w:tc>
          <w:tcPr>
            <w:tcW w:w="101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33D4B" w14:textId="1F3EF4A6" w:rsidR="00B84B7F" w:rsidRPr="00AA5984" w:rsidRDefault="006E1E41">
            <w:pPr>
              <w:pStyle w:val="TableParagraph"/>
              <w:spacing w:line="274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Conclusion to hold</w:t>
            </w:r>
            <w:r w:rsidR="00804176" w:rsidRPr="00AA5984">
              <w:rPr>
                <w:rFonts w:ascii="Times New Roman" w:hAnsi="Times New Roman"/>
                <w:sz w:val="24"/>
              </w:rPr>
              <w:t xml:space="preserve"> negotiations</w:t>
            </w:r>
          </w:p>
        </w:tc>
      </w:tr>
      <w:tr w:rsidR="00B84B7F" w:rsidRPr="00AA5984" w14:paraId="7629E185" w14:textId="77777777">
        <w:trPr>
          <w:trHeight w:hRule="exact" w:val="394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0FF5" w14:textId="77777777" w:rsidR="00B84B7F" w:rsidRPr="00AA5984" w:rsidRDefault="00804176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405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F48E" w14:textId="77777777" w:rsidR="00B84B7F" w:rsidRPr="00AA5984" w:rsidRDefault="00804176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b/>
                <w:sz w:val="24"/>
              </w:rPr>
              <w:t>How the deliverable is to be received:</w:t>
            </w:r>
          </w:p>
        </w:tc>
      </w:tr>
    </w:tbl>
    <w:p w14:paraId="3FBDA7C6" w14:textId="77777777" w:rsidR="00B84B7F" w:rsidRPr="00AA5984" w:rsidRDefault="00B84B7F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B84B7F" w:rsidRPr="00AA5984">
          <w:headerReference w:type="default" r:id="rId14"/>
          <w:pgSz w:w="16840" w:h="11910" w:orient="landscape"/>
          <w:pgMar w:top="900" w:right="780" w:bottom="280" w:left="1020" w:header="711" w:footer="0" w:gutter="0"/>
          <w:pgNumType w:start="2"/>
          <w:cols w:space="720"/>
        </w:sectPr>
      </w:pPr>
    </w:p>
    <w:p w14:paraId="69DA2587" w14:textId="77777777" w:rsidR="00B84B7F" w:rsidRPr="00AA5984" w:rsidRDefault="00B84B7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61"/>
        <w:gridCol w:w="2069"/>
        <w:gridCol w:w="1853"/>
        <w:gridCol w:w="2705"/>
        <w:gridCol w:w="3821"/>
        <w:gridCol w:w="3607"/>
      </w:tblGrid>
      <w:tr w:rsidR="00B84B7F" w:rsidRPr="00AA5984" w14:paraId="58D47D78" w14:textId="77777777">
        <w:trPr>
          <w:trHeight w:hRule="exact" w:val="562"/>
        </w:trPr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DE9AA2" w14:textId="77777777" w:rsidR="00B84B7F" w:rsidRPr="00AA5984" w:rsidRDefault="00B84B7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F3CF4" w14:textId="77777777" w:rsidR="00B84B7F" w:rsidRPr="00AA5984" w:rsidRDefault="00804176">
            <w:pPr>
              <w:pStyle w:val="TableParagraph"/>
              <w:ind w:left="102" w:right="850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>Receiving entity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2191B" w14:textId="77777777" w:rsidR="00B84B7F" w:rsidRPr="00AA5984" w:rsidRDefault="00804176">
            <w:pPr>
              <w:pStyle w:val="TableParagraph"/>
              <w:ind w:left="104" w:right="631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Format of receiving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A110D" w14:textId="77777777" w:rsidR="00B84B7F" w:rsidRPr="00AA5984" w:rsidRDefault="00804176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Method of receiving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CFD4F" w14:textId="77777777" w:rsidR="00B84B7F" w:rsidRPr="00AA5984" w:rsidRDefault="00804176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Can be received online?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E9486" w14:textId="77777777" w:rsidR="00B84B7F" w:rsidRPr="00AA5984" w:rsidRDefault="00804176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Link for online receipt</w:t>
            </w:r>
          </w:p>
        </w:tc>
      </w:tr>
      <w:tr w:rsidR="00B84B7F" w:rsidRPr="00AA5984" w14:paraId="1656C3DA" w14:textId="77777777">
        <w:trPr>
          <w:trHeight w:hRule="exact" w:val="838"/>
        </w:trPr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E458D" w14:textId="77777777" w:rsidR="00B84B7F" w:rsidRPr="00AA5984" w:rsidRDefault="00B84B7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192C" w14:textId="77777777" w:rsidR="00B84B7F" w:rsidRPr="00AA5984" w:rsidRDefault="00804176">
            <w:pPr>
              <w:pStyle w:val="TableParagraph"/>
              <w:ind w:left="102" w:right="285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>entity’s authorized representative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59D02" w14:textId="77777777" w:rsidR="00B84B7F" w:rsidRPr="00AA5984" w:rsidRDefault="00804176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in writing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4F81E" w14:textId="77777777" w:rsidR="00B84B7F" w:rsidRPr="00AA5984" w:rsidRDefault="00804176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in person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F7F0E" w14:textId="77777777" w:rsidR="00B84B7F" w:rsidRPr="00AA5984" w:rsidRDefault="00804176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-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9E944" w14:textId="77777777" w:rsidR="00B84B7F" w:rsidRPr="00AA5984" w:rsidRDefault="00804176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-</w:t>
            </w:r>
          </w:p>
        </w:tc>
      </w:tr>
      <w:tr w:rsidR="00B84B7F" w:rsidRPr="00AA5984" w14:paraId="6BE7C3F6" w14:textId="77777777">
        <w:trPr>
          <w:trHeight w:hRule="exact" w:val="4042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44D20" w14:textId="77777777" w:rsidR="00B84B7F" w:rsidRPr="00AA5984" w:rsidRDefault="00804176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3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F90AD" w14:textId="1C768B56" w:rsidR="00B84B7F" w:rsidRPr="00AA5984" w:rsidRDefault="00804176">
            <w:pPr>
              <w:pStyle w:val="TableParagraph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b/>
                <w:sz w:val="24"/>
              </w:rPr>
              <w:t>Grounds for denial of service</w:t>
            </w:r>
          </w:p>
        </w:tc>
        <w:tc>
          <w:tcPr>
            <w:tcW w:w="10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E24B2" w14:textId="77777777" w:rsidR="00B84B7F" w:rsidRPr="00AA5984" w:rsidRDefault="00804176">
            <w:pPr>
              <w:pStyle w:val="TableParagraph"/>
              <w:spacing w:line="274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The administrative service is denied when and if:</w:t>
            </w:r>
          </w:p>
          <w:p w14:paraId="7562B76C" w14:textId="77777777" w:rsidR="00B84B7F" w:rsidRPr="00AA5984" w:rsidRDefault="00804176">
            <w:pPr>
              <w:pStyle w:val="TableParagraph"/>
              <w:ind w:left="102" w:right="94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>a need arises to protect the national interests or comply with international commitments of Ukraine;</w:t>
            </w:r>
          </w:p>
          <w:p w14:paraId="6723A6B0" w14:textId="77777777" w:rsidR="00B84B7F" w:rsidRPr="00AA5984" w:rsidRDefault="00804176">
            <w:pPr>
              <w:pStyle w:val="TableParagraph"/>
              <w:ind w:left="102" w:right="94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>the entity performing international transfers of goods is duly terminated;</w:t>
            </w:r>
          </w:p>
          <w:p w14:paraId="5DBEA2E6" w14:textId="77777777" w:rsidR="00B84B7F" w:rsidRPr="00AA5984" w:rsidRDefault="00804176">
            <w:pPr>
              <w:pStyle w:val="TableParagraph"/>
              <w:tabs>
                <w:tab w:val="left" w:pos="1539"/>
                <w:tab w:val="left" w:pos="1866"/>
                <w:tab w:val="left" w:pos="3625"/>
                <w:tab w:val="left" w:pos="5463"/>
                <w:tab w:val="left" w:pos="6517"/>
                <w:tab w:val="left" w:pos="7820"/>
                <w:tab w:val="left" w:pos="8893"/>
              </w:tabs>
              <w:ind w:left="102" w:right="102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>the entity performing international transfers of goods is duly recognized bankrupt;</w:t>
            </w:r>
          </w:p>
          <w:p w14:paraId="757C4025" w14:textId="0ACC24EF" w:rsidR="00B84B7F" w:rsidRPr="00AA5984" w:rsidRDefault="00804176">
            <w:pPr>
              <w:pStyle w:val="TableParagraph"/>
              <w:ind w:left="102" w:right="97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SSECU needs to conduct further expert examination of documents submitted for a</w:t>
            </w:r>
            <w:r w:rsidR="002601F9">
              <w:rPr>
                <w:rFonts w:ascii="Times New Roman" w:hAnsi="Times New Roman"/>
                <w:sz w:val="24"/>
              </w:rPr>
              <w:t xml:space="preserve"> conclusion</w:t>
            </w:r>
            <w:r w:rsidRPr="00AA5984">
              <w:rPr>
                <w:rFonts w:ascii="Times New Roman" w:hAnsi="Times New Roman"/>
                <w:sz w:val="24"/>
              </w:rPr>
              <w:t>;</w:t>
            </w:r>
          </w:p>
          <w:p w14:paraId="3AB5CF8A" w14:textId="77777777" w:rsidR="00B84B7F" w:rsidRPr="00AA5984" w:rsidRDefault="00804176">
            <w:pPr>
              <w:pStyle w:val="TableParagraph"/>
              <w:ind w:left="102" w:right="9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 xml:space="preserve">the entity performing international transfers of goods has violated laws, including by committing violations described in Article 24 of the Law of Ukraine </w:t>
            </w:r>
            <w:r w:rsidRPr="00AA5984">
              <w:rPr>
                <w:rFonts w:ascii="Times New Roman" w:hAnsi="Times New Roman"/>
                <w:i/>
                <w:iCs/>
                <w:sz w:val="24"/>
                <w:szCs w:val="24"/>
              </w:rPr>
              <w:t>On State Control over International Transfers of Military and Dual-Use Goods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>;</w:t>
            </w:r>
            <w:r w:rsidRPr="00AA5984">
              <w:rPr>
                <w:rFonts w:ascii="Times New Roman" w:hAnsi="Times New Roman"/>
                <w:sz w:val="24"/>
                <w:szCs w:val="24"/>
              </w:rPr>
              <w:br/>
              <w:t>registration of the business entity as an entity performing international transfers of goods has been canceled</w:t>
            </w:r>
          </w:p>
        </w:tc>
      </w:tr>
      <w:tr w:rsidR="00B84B7F" w:rsidRPr="00AA5984" w14:paraId="0EE2AB28" w14:textId="77777777">
        <w:trPr>
          <w:trHeight w:hRule="exact" w:val="3046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A49C" w14:textId="77777777" w:rsidR="00B84B7F" w:rsidRPr="00AA5984" w:rsidRDefault="00804176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3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8D269" w14:textId="77777777" w:rsidR="00B84B7F" w:rsidRPr="00AA5984" w:rsidRDefault="00804176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b/>
                <w:sz w:val="24"/>
              </w:rPr>
              <w:t>Additional information (add information that cannot be found in existing [documents] and other clarifications)</w:t>
            </w:r>
          </w:p>
        </w:tc>
        <w:tc>
          <w:tcPr>
            <w:tcW w:w="10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CC289" w14:textId="54B18B43" w:rsidR="00B84B7F" w:rsidRPr="00AA5984" w:rsidRDefault="00804176">
            <w:pPr>
              <w:pStyle w:val="a4"/>
              <w:numPr>
                <w:ilvl w:val="0"/>
                <w:numId w:val="2"/>
              </w:numPr>
              <w:tabs>
                <w:tab w:val="left" w:pos="626"/>
              </w:tabs>
              <w:spacing w:line="274" w:lineRule="exac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The application for a</w:t>
            </w:r>
            <w:r w:rsidR="002601F9">
              <w:rPr>
                <w:rFonts w:ascii="Times New Roman" w:hAnsi="Times New Roman"/>
                <w:sz w:val="24"/>
              </w:rPr>
              <w:t xml:space="preserve"> conclusion</w:t>
            </w:r>
            <w:r w:rsidRPr="00AA5984">
              <w:rPr>
                <w:rFonts w:ascii="Times New Roman" w:hAnsi="Times New Roman"/>
                <w:sz w:val="24"/>
              </w:rPr>
              <w:t xml:space="preserve"> shall be rejected when and if:</w:t>
            </w:r>
          </w:p>
          <w:p w14:paraId="204FEB0C" w14:textId="77777777" w:rsidR="00B84B7F" w:rsidRPr="00AA5984" w:rsidRDefault="00804176">
            <w:pPr>
              <w:pStyle w:val="TableParagraph"/>
              <w:ind w:left="102" w:right="97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it is submitted (signed) by a person not authorized to do so, or has been executed with violations of existing requirements;</w:t>
            </w:r>
          </w:p>
          <w:p w14:paraId="34F8E6B4" w14:textId="77777777" w:rsidR="00B84B7F" w:rsidRPr="00AA5984" w:rsidRDefault="00804176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some documents are not submitted or are executed with violations of existing requirements.</w:t>
            </w:r>
          </w:p>
          <w:p w14:paraId="4BB75BD6" w14:textId="77777777" w:rsidR="00B84B7F" w:rsidRPr="00AA5984" w:rsidRDefault="00804176">
            <w:pPr>
              <w:pStyle w:val="TableParagraph"/>
              <w:ind w:left="102" w:right="97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>SSECU shall notify the applicant of rejection of the application within three days of the decision concerned with a reference to reasons.</w:t>
            </w:r>
          </w:p>
          <w:p w14:paraId="544AEF6A" w14:textId="77777777" w:rsidR="00B84B7F" w:rsidRPr="00AA5984" w:rsidRDefault="00804176">
            <w:pPr>
              <w:pStyle w:val="a4"/>
              <w:numPr>
                <w:ilvl w:val="0"/>
                <w:numId w:val="2"/>
              </w:numPr>
              <w:tabs>
                <w:tab w:val="left" w:pos="743"/>
              </w:tabs>
              <w:ind w:right="9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>To receive the administrative service, the payer’s authorized person shall produce to SSECU a power of attorney issued in their name, copies of the payment order confirming that the fee for the service has been transferred to the state budget in full, and a certificate from the relevant agency controlling budget revenues to the effect that funds have been actually received as budget revenues.</w:t>
            </w:r>
          </w:p>
          <w:p w14:paraId="59CFAB12" w14:textId="3A386A26" w:rsidR="00B84B7F" w:rsidRPr="00AA5984" w:rsidRDefault="00804176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</w:rPr>
              <w:t xml:space="preserve">The fee for registration and issuance of unused </w:t>
            </w:r>
            <w:r w:rsidR="002601F9">
              <w:rPr>
                <w:rFonts w:ascii="Times New Roman" w:hAnsi="Times New Roman"/>
                <w:sz w:val="24"/>
              </w:rPr>
              <w:t>conclusions</w:t>
            </w:r>
            <w:r w:rsidR="002601F9" w:rsidRPr="00AA5984">
              <w:rPr>
                <w:rFonts w:ascii="Times New Roman" w:hAnsi="Times New Roman"/>
                <w:sz w:val="24"/>
              </w:rPr>
              <w:t xml:space="preserve"> </w:t>
            </w:r>
            <w:r w:rsidRPr="00AA5984">
              <w:rPr>
                <w:rFonts w:ascii="Times New Roman" w:hAnsi="Times New Roman"/>
                <w:sz w:val="24"/>
              </w:rPr>
              <w:t>is non-refundable</w:t>
            </w:r>
          </w:p>
        </w:tc>
      </w:tr>
    </w:tbl>
    <w:p w14:paraId="28CCDA4D" w14:textId="77777777" w:rsidR="00B84B7F" w:rsidRPr="00AA5984" w:rsidRDefault="00B84B7F">
      <w:pPr>
        <w:rPr>
          <w:rFonts w:ascii="Times New Roman" w:eastAsia="Times New Roman" w:hAnsi="Times New Roman" w:cs="Times New Roman"/>
          <w:sz w:val="24"/>
          <w:szCs w:val="24"/>
        </w:rPr>
        <w:sectPr w:rsidR="00B84B7F" w:rsidRPr="00AA5984">
          <w:pgSz w:w="16840" w:h="11910" w:orient="landscape"/>
          <w:pgMar w:top="900" w:right="780" w:bottom="280" w:left="1020" w:header="711" w:footer="0" w:gutter="0"/>
          <w:cols w:space="720"/>
        </w:sectPr>
      </w:pPr>
    </w:p>
    <w:p w14:paraId="55DF7B5C" w14:textId="77777777" w:rsidR="00B84B7F" w:rsidRPr="00AA5984" w:rsidRDefault="00B84B7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61"/>
        <w:gridCol w:w="3922"/>
        <w:gridCol w:w="10133"/>
      </w:tblGrid>
      <w:tr w:rsidR="00B84B7F" w:rsidRPr="00AA5984" w14:paraId="2F5B5442" w14:textId="77777777">
        <w:trPr>
          <w:trHeight w:hRule="exact" w:val="871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C6BE2" w14:textId="77777777" w:rsidR="00B84B7F" w:rsidRPr="00AA5984" w:rsidRDefault="00804176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3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3B9C9" w14:textId="77777777" w:rsidR="00B84B7F" w:rsidRPr="00AA5984" w:rsidRDefault="0080417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b/>
                <w:sz w:val="24"/>
              </w:rPr>
              <w:t>Submission due dates</w:t>
            </w:r>
          </w:p>
        </w:tc>
        <w:tc>
          <w:tcPr>
            <w:tcW w:w="10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B1116" w14:textId="77777777" w:rsidR="00B84B7F" w:rsidRPr="00AA5984" w:rsidRDefault="00804176">
            <w:pPr>
              <w:pStyle w:val="TableParagraph"/>
              <w:ind w:left="102" w:right="94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>The application shall be considered and a decision made to deliver or deny the administrative service within 90 days after SSECU receives all required documents from the entity.</w:t>
            </w:r>
          </w:p>
        </w:tc>
      </w:tr>
      <w:tr w:rsidR="00B84B7F" w:rsidRPr="00AA5984" w14:paraId="663E71FB" w14:textId="77777777">
        <w:trPr>
          <w:trHeight w:hRule="exact" w:val="838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C2498" w14:textId="77777777" w:rsidR="00B84B7F" w:rsidRPr="00AA5984" w:rsidRDefault="00804176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3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4B30A" w14:textId="77777777" w:rsidR="00B84B7F" w:rsidRPr="00AA5984" w:rsidRDefault="00804176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b/>
                <w:sz w:val="24"/>
              </w:rPr>
              <w:t>Administrative charge (due date and amount)</w:t>
            </w:r>
          </w:p>
        </w:tc>
        <w:tc>
          <w:tcPr>
            <w:tcW w:w="10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5359E" w14:textId="2239D9D3" w:rsidR="00B84B7F" w:rsidRPr="00AA5984" w:rsidRDefault="00804176">
            <w:pPr>
              <w:pStyle w:val="a4"/>
              <w:numPr>
                <w:ilvl w:val="0"/>
                <w:numId w:val="1"/>
              </w:numPr>
              <w:tabs>
                <w:tab w:val="left" w:pos="679"/>
              </w:tabs>
              <w:spacing w:line="274" w:lineRule="exact"/>
              <w:ind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 xml:space="preserve">one-time </w:t>
            </w:r>
            <w:r w:rsidR="002601F9">
              <w:rPr>
                <w:rFonts w:ascii="Times New Roman" w:hAnsi="Times New Roman"/>
                <w:sz w:val="24"/>
              </w:rPr>
              <w:t>conclusion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>— 20 times the minimum tax-free income;</w:t>
            </w:r>
          </w:p>
          <w:p w14:paraId="43469D9A" w14:textId="0D730693" w:rsidR="00B84B7F" w:rsidRPr="00AA5984" w:rsidRDefault="002601F9">
            <w:pPr>
              <w:pStyle w:val="a4"/>
              <w:numPr>
                <w:ilvl w:val="0"/>
                <w:numId w:val="1"/>
              </w:numPr>
              <w:tabs>
                <w:tab w:val="left" w:pos="679"/>
              </w:tabs>
              <w:ind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conclusion</w:t>
            </w:r>
            <w:r w:rsidR="00804176" w:rsidRPr="00AA5984">
              <w:rPr>
                <w:rFonts w:ascii="Times New Roman" w:hAnsi="Times New Roman"/>
                <w:sz w:val="24"/>
                <w:szCs w:val="24"/>
              </w:rPr>
              <w:t>— 30 times the minimum tax-free income;</w:t>
            </w:r>
          </w:p>
          <w:p w14:paraId="0719076C" w14:textId="1159E61B" w:rsidR="00B84B7F" w:rsidRPr="00AA5984" w:rsidRDefault="00804176">
            <w:pPr>
              <w:pStyle w:val="a4"/>
              <w:numPr>
                <w:ilvl w:val="0"/>
                <w:numId w:val="1"/>
              </w:numPr>
              <w:tabs>
                <w:tab w:val="left" w:pos="679"/>
              </w:tabs>
              <w:ind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84">
              <w:rPr>
                <w:rFonts w:ascii="Times New Roman" w:hAnsi="Times New Roman"/>
                <w:sz w:val="24"/>
                <w:szCs w:val="24"/>
              </w:rPr>
              <w:t xml:space="preserve">open </w:t>
            </w:r>
            <w:r w:rsidR="002601F9">
              <w:rPr>
                <w:rFonts w:ascii="Times New Roman" w:hAnsi="Times New Roman"/>
                <w:sz w:val="24"/>
              </w:rPr>
              <w:t>conclusion</w:t>
            </w:r>
            <w:r w:rsidRPr="00AA5984">
              <w:rPr>
                <w:rFonts w:ascii="Times New Roman" w:hAnsi="Times New Roman"/>
                <w:sz w:val="24"/>
                <w:szCs w:val="24"/>
              </w:rPr>
              <w:t>— 100 times the minimum tax-free income</w:t>
            </w:r>
          </w:p>
        </w:tc>
      </w:tr>
    </w:tbl>
    <w:p w14:paraId="04A7896C" w14:textId="77777777" w:rsidR="00804176" w:rsidRPr="00AA5984" w:rsidRDefault="00804176"/>
    <w:sectPr w:rsidR="00804176" w:rsidRPr="00AA5984">
      <w:pgSz w:w="16840" w:h="11910" w:orient="landscape"/>
      <w:pgMar w:top="900" w:right="780" w:bottom="280" w:left="102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7ECC6" w14:textId="77777777" w:rsidR="000F5269" w:rsidRDefault="000F5269">
      <w:r>
        <w:separator/>
      </w:r>
    </w:p>
  </w:endnote>
  <w:endnote w:type="continuationSeparator" w:id="0">
    <w:p w14:paraId="5A19E0C9" w14:textId="77777777" w:rsidR="000F5269" w:rsidRDefault="000F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60D3E" w14:textId="77777777" w:rsidR="000F5269" w:rsidRDefault="000F5269">
      <w:r>
        <w:separator/>
      </w:r>
    </w:p>
  </w:footnote>
  <w:footnote w:type="continuationSeparator" w:id="0">
    <w:p w14:paraId="2D4C7D95" w14:textId="77777777" w:rsidR="000F5269" w:rsidRDefault="000F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A0445" w14:textId="77777777" w:rsidR="00B84B7F" w:rsidRDefault="00D51BC9">
    <w:pPr>
      <w:spacing w:line="14" w:lineRule="auto"/>
      <w:rPr>
        <w:sz w:val="20"/>
        <w:szCs w:val="20"/>
      </w:rPr>
    </w:pPr>
    <w:r>
      <w:pict w14:anchorId="0CD12E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55pt;margin-top:35.55pt;width:8.5pt;height:11pt;z-index:-251658752;mso-position-horizontal-relative:page;mso-position-vertical-relative:page" filled="f" stroked="f">
          <v:textbox inset="0,0,0,0">
            <w:txbxContent>
              <w:p w14:paraId="4FEC3F8F" w14:textId="6AF080B3" w:rsidR="00B84B7F" w:rsidRDefault="00804176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51BC9">
                  <w:rPr>
                    <w:rFonts w:ascii="Times New Roman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047BC"/>
    <w:multiLevelType w:val="hybridMultilevel"/>
    <w:tmpl w:val="908A92DE"/>
    <w:lvl w:ilvl="0" w:tplc="F57C59BA">
      <w:start w:val="1"/>
      <w:numFmt w:val="decimal"/>
      <w:lvlText w:val="%1)"/>
      <w:lvlJc w:val="left"/>
      <w:pPr>
        <w:ind w:left="678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FA4FAB6">
      <w:start w:val="1"/>
      <w:numFmt w:val="bullet"/>
      <w:lvlText w:val="•"/>
      <w:lvlJc w:val="left"/>
      <w:pPr>
        <w:ind w:left="1622" w:hanging="260"/>
      </w:pPr>
      <w:rPr>
        <w:rFonts w:hint="default"/>
      </w:rPr>
    </w:lvl>
    <w:lvl w:ilvl="2" w:tplc="DF2888E6">
      <w:start w:val="1"/>
      <w:numFmt w:val="bullet"/>
      <w:lvlText w:val="•"/>
      <w:lvlJc w:val="left"/>
      <w:pPr>
        <w:ind w:left="2566" w:hanging="260"/>
      </w:pPr>
      <w:rPr>
        <w:rFonts w:hint="default"/>
      </w:rPr>
    </w:lvl>
    <w:lvl w:ilvl="3" w:tplc="58645548">
      <w:start w:val="1"/>
      <w:numFmt w:val="bullet"/>
      <w:lvlText w:val="•"/>
      <w:lvlJc w:val="left"/>
      <w:pPr>
        <w:ind w:left="3511" w:hanging="260"/>
      </w:pPr>
      <w:rPr>
        <w:rFonts w:hint="default"/>
      </w:rPr>
    </w:lvl>
    <w:lvl w:ilvl="4" w:tplc="29E6A752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91F4CCDC">
      <w:start w:val="1"/>
      <w:numFmt w:val="bullet"/>
      <w:lvlText w:val="•"/>
      <w:lvlJc w:val="left"/>
      <w:pPr>
        <w:ind w:left="5399" w:hanging="260"/>
      </w:pPr>
      <w:rPr>
        <w:rFonts w:hint="default"/>
      </w:rPr>
    </w:lvl>
    <w:lvl w:ilvl="6" w:tplc="BF3AB750">
      <w:start w:val="1"/>
      <w:numFmt w:val="bullet"/>
      <w:lvlText w:val="•"/>
      <w:lvlJc w:val="left"/>
      <w:pPr>
        <w:ind w:left="6344" w:hanging="260"/>
      </w:pPr>
      <w:rPr>
        <w:rFonts w:hint="default"/>
      </w:rPr>
    </w:lvl>
    <w:lvl w:ilvl="7" w:tplc="E9AE7422">
      <w:start w:val="1"/>
      <w:numFmt w:val="bullet"/>
      <w:lvlText w:val="•"/>
      <w:lvlJc w:val="left"/>
      <w:pPr>
        <w:ind w:left="7288" w:hanging="260"/>
      </w:pPr>
      <w:rPr>
        <w:rFonts w:hint="default"/>
      </w:rPr>
    </w:lvl>
    <w:lvl w:ilvl="8" w:tplc="A9B2A19E">
      <w:start w:val="1"/>
      <w:numFmt w:val="bullet"/>
      <w:lvlText w:val="•"/>
      <w:lvlJc w:val="left"/>
      <w:pPr>
        <w:ind w:left="8232" w:hanging="260"/>
      </w:pPr>
      <w:rPr>
        <w:rFonts w:hint="default"/>
      </w:rPr>
    </w:lvl>
  </w:abstractNum>
  <w:abstractNum w:abstractNumId="1" w15:restartNumberingAfterBreak="0">
    <w:nsid w:val="6CCD42FA"/>
    <w:multiLevelType w:val="hybridMultilevel"/>
    <w:tmpl w:val="5C5CC282"/>
    <w:lvl w:ilvl="0" w:tplc="8A6496F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42A0A04">
      <w:start w:val="1"/>
      <w:numFmt w:val="bullet"/>
      <w:lvlText w:val="•"/>
      <w:lvlJc w:val="left"/>
      <w:pPr>
        <w:ind w:left="1104" w:hanging="240"/>
      </w:pPr>
      <w:rPr>
        <w:rFonts w:hint="default"/>
      </w:rPr>
    </w:lvl>
    <w:lvl w:ilvl="2" w:tplc="A2D66750">
      <w:start w:val="1"/>
      <w:numFmt w:val="bullet"/>
      <w:lvlText w:val="•"/>
      <w:lvlJc w:val="left"/>
      <w:pPr>
        <w:ind w:left="2106" w:hanging="240"/>
      </w:pPr>
      <w:rPr>
        <w:rFonts w:hint="default"/>
      </w:rPr>
    </w:lvl>
    <w:lvl w:ilvl="3" w:tplc="D584E0E0">
      <w:start w:val="1"/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7564E310">
      <w:start w:val="1"/>
      <w:numFmt w:val="bullet"/>
      <w:lvlText w:val="•"/>
      <w:lvlJc w:val="left"/>
      <w:pPr>
        <w:ind w:left="4109" w:hanging="240"/>
      </w:pPr>
      <w:rPr>
        <w:rFonts w:hint="default"/>
      </w:rPr>
    </w:lvl>
    <w:lvl w:ilvl="5" w:tplc="5B0C526A">
      <w:start w:val="1"/>
      <w:numFmt w:val="bullet"/>
      <w:lvlText w:val="•"/>
      <w:lvlJc w:val="left"/>
      <w:pPr>
        <w:ind w:left="5111" w:hanging="240"/>
      </w:pPr>
      <w:rPr>
        <w:rFonts w:hint="default"/>
      </w:rPr>
    </w:lvl>
    <w:lvl w:ilvl="6" w:tplc="2890A7E2">
      <w:start w:val="1"/>
      <w:numFmt w:val="bullet"/>
      <w:lvlText w:val="•"/>
      <w:lvlJc w:val="left"/>
      <w:pPr>
        <w:ind w:left="6113" w:hanging="240"/>
      </w:pPr>
      <w:rPr>
        <w:rFonts w:hint="default"/>
      </w:rPr>
    </w:lvl>
    <w:lvl w:ilvl="7" w:tplc="F8F8F8A8">
      <w:start w:val="1"/>
      <w:numFmt w:val="bullet"/>
      <w:lvlText w:val="•"/>
      <w:lvlJc w:val="left"/>
      <w:pPr>
        <w:ind w:left="7115" w:hanging="240"/>
      </w:pPr>
      <w:rPr>
        <w:rFonts w:hint="default"/>
      </w:rPr>
    </w:lvl>
    <w:lvl w:ilvl="8" w:tplc="CEA4219A">
      <w:start w:val="1"/>
      <w:numFmt w:val="bullet"/>
      <w:lvlText w:val="•"/>
      <w:lvlJc w:val="left"/>
      <w:pPr>
        <w:ind w:left="8117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4B7F"/>
    <w:rsid w:val="000F5269"/>
    <w:rsid w:val="002601F9"/>
    <w:rsid w:val="00557A18"/>
    <w:rsid w:val="00622F5E"/>
    <w:rsid w:val="006E1E41"/>
    <w:rsid w:val="00804176"/>
    <w:rsid w:val="008C177F"/>
    <w:rsid w:val="009E06C6"/>
    <w:rsid w:val="00A93F2A"/>
    <w:rsid w:val="00AA5984"/>
    <w:rsid w:val="00B84B7F"/>
    <w:rsid w:val="00C80CA9"/>
    <w:rsid w:val="00D51BC9"/>
    <w:rsid w:val="00DB79AF"/>
    <w:rsid w:val="00DD070D"/>
    <w:rsid w:val="00E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9293D5"/>
  <w15:docId w15:val="{B91B305E-3DE2-47C5-80C5-8703E11D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 w:hanging="25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7A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00-2012-&#1087;" TargetMode="External"/><Relationship Id="rId13" Type="http://schemas.openxmlformats.org/officeDocument/2006/relationships/hyperlink" Target="https://zakon.rada.gov.ua/laws/show/z0090-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49-15" TargetMode="External"/><Relationship Id="rId12" Type="http://schemas.openxmlformats.org/officeDocument/2006/relationships/hyperlink" Target="https://zakon.rada.gov.ua/laws/show/z0090-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z0994-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z0994-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00-2012-&#1087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3767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Багрий</cp:lastModifiedBy>
  <cp:revision>7</cp:revision>
  <dcterms:created xsi:type="dcterms:W3CDTF">2021-07-23T14:53:00Z</dcterms:created>
  <dcterms:modified xsi:type="dcterms:W3CDTF">2021-11-01T07:29:00Z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LastSaved">
    <vt:filetime>2021-07-23T00:00:00Z</vt:filetime>
  </property>
</Properties>
</file>