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75" w:rsidRPr="00FE3675" w:rsidRDefault="00FE3675" w:rsidP="00FE3675">
      <w:pPr>
        <w:shd w:val="clear" w:color="auto" w:fill="FFFFFF"/>
        <w:spacing w:after="0" w:line="240" w:lineRule="auto"/>
        <w:ind w:left="-1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Вассенаарська домовленість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 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Вассенаарська домовленість є неформальною міжнародною організацією  для контролю звичайних озброєнь (товарів військового призначення, далі – ТВП) та пов'язаних з ними товарів подвійного використання (далі - ТПВ).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  створення Вассенаарської домовленості (далі - ВД)  офіційно було проголошено 19 грудня 1995 року після проведення відповідного засідання на найвищому рівні, в якому взяли участь 28 держав. Це був перший багатосторонній режим, якій охоплював як звичайні види озброєнь, так і пов’язані з ними „чутливі” товари подвійного використання.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 створення нового режиму офіційно було проголошено у декларації в Гаазі.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Протягом 2 – 3 квітня 1996 року до режиму приєдналися Аргентина, Республіка Корея та Румунія, а 11 – 12 липня 1996 року -  Болгарія та Україна  як члени-засновники.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ВД офіційно почала функціонувати з липня 1996 року як режим, заснований 33 державами, що досягли консенсусу щодо Початкових елементів ВД (основного документа ВД) та прийняли рішення про введення з 1 листопада 1996 року на національних рівнях Контрольних списків та процедури інформаційного обміну.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У заяві для преси було підкреслено, що ця домовленість не буде спрямована проти будь-якої держави або групи держав та не перешкоджатиме чесним цивільним трансакціям, а також те, що вона не буде втручатися у право держав придбавати законні засоби, призначені для самооборони згідно зі статтею 51 Статуту Організації Об’єднаних Націй, а рішення стосовно передачі або відмови у передачі будь-якого предмету становитиме відповідальність кожної держави-учасниці. 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Метою ВД стало сприяння регіональній безпеці та стабільності,  сприяння прозорості передач звичайних озброєнь та пов'язаних з ними товарів подвійного використання, прийняття державами-учасницями відповідних зобов'язань щодо процедур здійснення передач таких товарів. Ця організація сприяє підвищенню рівня співробітництва між державами-учасницями з метою відвертання придбання озброєнь та чутливих товарів подвійного використання для цілей військового кінцевого використання тоді, коли ситуація в регіоні або поведінка держави-отримувача цих предметів є або стає причиною серйозного занепокоєння держав-учасниць ВД.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Держави-учасниці ВД ухвалили документ, що визначає правила експорту стрілецької зброї та легких озброєнь. Ці правила поєднують елементи прийнятої ООН у 2001 році Програми дії із запобігання, протидії та викорінення незаконної торгівлі стрілецькою зброєю і легкими озброєннями, а також документа ОБСЄ 2001 року про стрілецьку зброю і легкі озброєння.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Визнаючи загрози, які становлять несанкціоноване розповсюдження та використання переносних зенітно-ракетних комплексів (ПЗРК, особливо для цивільної авіації, операцій з підтримання миру, врегулювання криз та антитерористичних операцій, держави-учасниці ВД, починаючи з 2000 року, застосовують суворий національний контроль за експортом ПЗРК.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Основою такого контролю є прийняті Пленумом ВД „Елементи  експортного контролю за переносними зенітно-ракетними комплексами (ПЗРК)”.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Ці елементи охоплюють ракетні комплекси класу „поверхня-повітря”, спеціально сконструйовані для перенесення та використання однією особою, та інші ракетні комплекси класу „поверхня-повітря”, спеціально сконструйовані для обслуговування та використання кількома особами, які діють як окремий розрахунок; крім цього ці комплекси можуть переноситися лише кількома особами.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Засоби національного експортного контролю застосовуються кожною з держав-учасниць ВД до міжнародних передач або передач третій стороні ПЗРК, включаючи повні комплекси, складові частини, запасні частини, моделі, тренажери та симулятори для будь-яких цілей, у будь-який спосіб, включаючи їх ліцензований експорт, продаж, безкоштовну передачу, тимчасове користування, оренду, 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співвиробництво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або домовленість про ліцензійне виробництво (надалі – експорт). Обсяг експортного та іншого пов’язаного з цим контролю включає дослідницьку діяльність, конструювання, розробку, інженерне забезпечення, виготовлення, виробництво, складання, випробування, ремонт, технічне обслуговування, проведення регламентних робіт, модифікацію, удосконалення, модернізацію, експлуатацію, використання, заміну або 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дооснащення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, демілітаризацію та ліквідацію ПЗРК, технічні дані, програмне забезпечення, технічну допомогу, демонстрацію та навчання, пов’язані з цими функціями, а також безпечне транспортування та зберігання. Цей обсяг відповідно до законодавств держав-учасниць ВД може також стосуватися інвестування, маркетингу, реклами та іншої пов’язаної з ПЗРК діяльності.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ВД стала доповненням до вже існуючих міжнародних режимів контролю за нерозповсюдженням зброї масового знищення (далі - ЗМЗ).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Контроль за міжнародними передачами звичайних озброєнь та товарів подвійного використання в рамках ВД здійснюється у відповідності до прийнятих під час засновницького пленарного засідання у липні 1996 року керівних принципів (Початкових положень) та узгоджених переліків відповідних товарів.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Держави, що приєдналися до ВД, погодилися здійснювати на добровільній та конфіденційній основі обмін чутливою інформацією про експорт та імпорт товарів, здійснювати консультації щодо передач ТВП та окремих категорій ТПВ, а також сприяти  встановленню 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взаємопорозуміння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при можливих ризиках таких передач.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lastRenderedPageBreak/>
        <w:t xml:space="preserve">На виконання міжнародних зобов’язань, обумовлених участю у ВД, держави-учасниці 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щопівроку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розміщують в інформаційній системі Режиму звіти про передачі або відмови у передачах окремих товарів до держав-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неучасниць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ВД, а саме: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наданих дозволів на експорт окремих категорій звичайних озброєнь (звітні до Регістру звичайних озброєнь ООН категорії, у тому числі стрілецька зброя та легкі озброєння), внесених до Списку товарів військового призначення ВД;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наданих дозволів або здійснених міжнародних передач "чутливих" та "дуже чутливих" товарів, внесених до Списку товарів і технологій подвійного використання ВД;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відмов у наданні дозволів на передачу товарів, внесених до Списку товарів і технологій подвійного використання ВД;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відмов у наданні дозволів на експорт "чутливих" та "дуже чутливих", внесених до Списку товарів і технологій подвійного використання ВД;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наданих дозволів на здійснення по суті ідентичних передач "чутливих" та "дуже чутливих", внесених до Списку товарів і технологій подвійного використання ВД, відносно яких у попередній трирічний період було відмовлено іншою державою-учасницею.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Процедури ліцензування міжнародних передач товарів здійснюються на основі національних законодавств сторін.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Основою ВД є відповідні контрольні списки товарів військового призначення та товарів подвійного використання.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  <w:t>Станом на квітень 202</w:t>
      </w:r>
      <w:r w:rsidR="00C733EB" w:rsidRPr="00C733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uk-UA"/>
        </w:rPr>
        <w:t>1</w:t>
      </w:r>
      <w:bookmarkStart w:id="0" w:name="_GoBack"/>
      <w:bookmarkEnd w:id="0"/>
      <w:r w:rsidRPr="00FE36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  <w:t xml:space="preserve"> року участь у міжнародному режимі експортного контролю „Вассенаарська домовленість” приймає 42 держави, а саме: Австралія, Австрія, Аргентина, Бельгія, Болгарія, Великобританія, Греція, Данія, Естонія, Індія, Ірландія, Іспанія, Італія, Канада, Латвія, Литва, Люксембург, Мальта, Мексика, Нідерланди, Німеччина, Нова Зеландія, Норвегія, Південно-Африканська Республіка, Польща, Португалія, Республіка Корея (Південна), Російська Федерація, Румунія, Словаччина, Словенія, Сполучені Штати Америки, Туреччина, Угорщина, Україна, Фінляндія, Франція, Хорватія, Чехія, Швейцарія, Швеція та Японія.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Структура режиму Вассенаарська домовленість та основні категорії товарів, що контролюються цим режимом, наведені на 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мал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 2.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noProof/>
          <w:color w:val="000000"/>
          <w:sz w:val="20"/>
          <w:szCs w:val="20"/>
          <w:lang w:eastAsia="uk-UA"/>
        </w:rPr>
        <w:drawing>
          <wp:inline distT="0" distB="0" distL="0" distR="0" wp14:anchorId="5EF27CF4" wp14:editId="7678437C">
            <wp:extent cx="5810250" cy="5124450"/>
            <wp:effectExtent l="0" t="0" r="0" b="0"/>
            <wp:docPr id="2" name="Рисунок 2" descr="http://www.dsecu.gov.ua/img/publishing/?id=47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ecu.gov.ua/img/publishing/?id=471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62D" w:rsidRDefault="0085473C"/>
    <w:sectPr w:rsidR="004B4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75"/>
    <w:rsid w:val="00995E0E"/>
    <w:rsid w:val="009C7289"/>
    <w:rsid w:val="00C733EB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E1E8-D140-4C48-AA08-DB463992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4663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Davydenko</dc:creator>
  <cp:keywords/>
  <dc:description/>
  <cp:lastModifiedBy>Мовчан</cp:lastModifiedBy>
  <cp:revision>3</cp:revision>
  <dcterms:created xsi:type="dcterms:W3CDTF">2020-05-08T07:29:00Z</dcterms:created>
  <dcterms:modified xsi:type="dcterms:W3CDTF">2021-04-13T06:14:00Z</dcterms:modified>
</cp:coreProperties>
</file>